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>
      <w:pPr>
        <w:bidi w:val="0"/>
        <w:spacing w:before="494" w:after="0"/>
        <w:ind w:left="4163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1.5pt" o:allowincell="f">
            <v:imagedata r:id="rId4" o:title=""/>
            <w10:anchorlock/>
          </v:shape>
        </w:pict>
      </w:r>
    </w:p>
    <w:p>
      <w:pPr>
        <w:bidi w:val="0"/>
        <w:spacing w:before="0" w:after="0" w:line="395" w:lineRule="atLeast"/>
        <w:ind w:left="1535" w:right="1395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KURŠIŲ NERIJOS NACIONALINIO PARKO DIREKCIJOS DIREKTORIUS </w:t>
      </w:r>
    </w:p>
    <w:p>
      <w:pPr>
        <w:pStyle w:val="Heading1"/>
        <w:bidi w:val="0"/>
        <w:spacing w:before="398" w:after="0" w:line="275" w:lineRule="atLeast"/>
        <w:ind w:left="588" w:right="448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ĮSAKYMAS DĖL VAIZDO STEBĖJIMO VYKDYMO IR DUOMENŲ, GAUTŲ VYKDANT VAIZDO STEBĖJIMĄ, TVARKYMO </w:t>
      </w:r>
    </w:p>
    <w:p>
      <w:pPr>
        <w:pStyle w:val="Heading1"/>
        <w:bidi w:val="0"/>
        <w:spacing w:before="1" w:after="0" w:line="275" w:lineRule="atLeast"/>
        <w:ind w:left="760" w:right="618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KURŠIŲ NERIJOS NACIONALINIO PARKO DIREKCIJOJE TAISYKLIŲ PATVIRTINIMO </w:t>
      </w:r>
    </w:p>
    <w:p>
      <w:pPr>
        <w:bidi w:val="0"/>
        <w:spacing w:before="127" w:after="0" w:line="265" w:lineRule="atLeast"/>
        <w:ind w:left="3413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2023 m. gruodžio       d. Nr.  </w:t>
      </w:r>
    </w:p>
    <w:p>
      <w:pPr>
        <w:bidi w:val="0"/>
        <w:spacing w:before="11" w:after="0" w:line="265" w:lineRule="atLeast"/>
        <w:ind w:left="3888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         Neringa </w:t>
      </w:r>
    </w:p>
    <w:p>
      <w:pPr>
        <w:bidi w:val="0"/>
        <w:spacing w:before="452" w:after="0" w:line="318" w:lineRule="atLeast"/>
        <w:ind w:left="0" w:right="-200" w:firstLine="72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Vadovaudamasi Kuršių nerijos nacionalinio parko direkcijos (toliau - Direkcija) nuostatų, patvirtintų Valstybinės saugomų teritorijų tarnybos prie Aplinkos ministerijos direktoriaus 2021 m.  gegužės 26 d. įsakymu Nr. V-111 (2022 m. sausio 6 d. įsakymo Nr. V-3 redakcija), 27.1., 27.2., 27.3 punktų nuostatomis: </w:t>
      </w:r>
    </w:p>
    <w:p>
      <w:pPr>
        <w:numPr>
          <w:ilvl w:val="0"/>
          <w:numId w:val="1"/>
        </w:numPr>
        <w:bidi w:val="0"/>
        <w:spacing w:before="5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T v i r t i n u  Vaizdo stebėjimo vykdymo ir duomenų, gautų vykdant vaizdo stebėjimą, </w:t>
      </w:r>
    </w:p>
    <w:p>
      <w:pPr>
        <w:bidi w:val="0"/>
        <w:spacing w:before="53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tvarkymo Kuršių nerijos nacionalinio parko direkcijoje taisykles (toliau – Taisyklės) (pridedama); </w:t>
      </w:r>
    </w:p>
    <w:p>
      <w:pPr>
        <w:numPr>
          <w:ilvl w:val="0"/>
          <w:numId w:val="2"/>
        </w:numPr>
        <w:bidi w:val="0"/>
        <w:spacing w:before="52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P a v e d u: </w:t>
      </w:r>
    </w:p>
    <w:p>
      <w:pPr>
        <w:numPr>
          <w:ilvl w:val="0"/>
          <w:numId w:val="3"/>
        </w:numPr>
        <w:bidi w:val="0"/>
        <w:spacing w:before="53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Bendrųjų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reikalų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skyriaus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vedėjui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Petrui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Jenčauskui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pagal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kompetenciją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Įsakyme </w:t>
      </w:r>
    </w:p>
    <w:p>
      <w:pPr>
        <w:bidi w:val="0"/>
        <w:spacing w:before="52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nurodytų Taisyklių 3.3., 3.5., 3.6. punktų nuostatų įgyvendinimą; </w:t>
      </w:r>
    </w:p>
    <w:p>
      <w:pPr>
        <w:numPr>
          <w:ilvl w:val="0"/>
          <w:numId w:val="4"/>
        </w:numPr>
        <w:bidi w:val="0"/>
        <w:spacing w:before="53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Bendrųjų reikalų skyriaus Informacinių technologijų specialistui Justinui Tuzikui pagal </w:t>
      </w:r>
    </w:p>
    <w:p>
      <w:pPr>
        <w:bidi w:val="0"/>
        <w:spacing w:before="52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kompetenciją Įsakyme nurodytų Taisyklių 3.3., 3.5., 3.6. punktų nuostatų įgyvendinimą; </w:t>
      </w:r>
    </w:p>
    <w:p>
      <w:pPr>
        <w:numPr>
          <w:ilvl w:val="0"/>
          <w:numId w:val="5"/>
        </w:numPr>
        <w:bidi w:val="0"/>
        <w:spacing w:before="53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Vyresn.  patarėjai  teisės  klausimais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Gintarei  Čiakienei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gauti  Valstybinės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duomenų </w:t>
      </w:r>
    </w:p>
    <w:p>
      <w:pPr>
        <w:bidi w:val="0"/>
        <w:spacing w:before="1" w:after="0" w:line="317" w:lineRule="atLeast"/>
        <w:ind w:left="0" w:right="-139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apsaugos inspekcijos leidimą atlikti Vaizdo stebėjimo duomenų tvarkymo veiksmus, bei pagal kompetenciją Įsakyme nurodytų Taisyklių 3.2.1., 3.2.2., 3.5.4.8. punktų nuostatų įgyvendinimą.  </w:t>
      </w:r>
    </w:p>
    <w:p>
      <w:pPr>
        <w:numPr>
          <w:ilvl w:val="0"/>
          <w:numId w:val="6"/>
        </w:numPr>
        <w:bidi w:val="0"/>
        <w:spacing w:before="52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N u r o d a u: </w:t>
      </w:r>
    </w:p>
    <w:p>
      <w:pPr>
        <w:numPr>
          <w:ilvl w:val="0"/>
          <w:numId w:val="7"/>
        </w:numPr>
        <w:bidi w:val="0"/>
        <w:spacing w:before="53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Su šiuo įsakymu per DVS DBSIS susipažinti visus Direkcijos darbuotojus (dirbančius </w:t>
      </w:r>
    </w:p>
    <w:p>
      <w:pPr>
        <w:bidi w:val="0"/>
        <w:spacing w:before="52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darbo sutarties pagrindu ir valstybės tarnautojus, vykdančius valstybės tarnybos funkcijas); </w:t>
      </w:r>
    </w:p>
    <w:p>
      <w:pPr>
        <w:numPr>
          <w:ilvl w:val="0"/>
          <w:numId w:val="8"/>
        </w:numPr>
        <w:bidi w:val="0"/>
        <w:spacing w:before="53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Direkcijos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skyrių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6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vedėjams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su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Įsakymu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supažindinti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naujai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priimtus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Direkcijos  </w:t>
      </w:r>
    </w:p>
    <w:p>
      <w:pPr>
        <w:bidi w:val="0"/>
        <w:spacing w:before="52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darbuotojus. </w:t>
      </w:r>
    </w:p>
    <w:p>
      <w:pPr>
        <w:bidi w:val="0"/>
        <w:spacing w:before="416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Direktorė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6737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      Aušra Feser </w:t>
      </w:r>
    </w:p>
    <w:p>
      <w:pPr>
        <w:bidi w:val="0"/>
        <w:spacing w:before="1468" w:after="0" w:line="221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0"/>
          <w:szCs w:val="20"/>
          <w:u w:val="none"/>
          <w:rtl w:val="0"/>
        </w:rPr>
        <w:t xml:space="preserve">Parengė: </w:t>
      </w:r>
    </w:p>
    <w:p>
      <w:pPr>
        <w:bidi w:val="0"/>
        <w:spacing w:before="1" w:after="0" w:line="230" w:lineRule="atLeast"/>
        <w:ind w:left="0" w:right="8411" w:firstLine="0"/>
        <w:jc w:val="both"/>
        <w:outlineLvl w:val="9"/>
        <w:rPr>
          <w:rFonts w:ascii="Times New Roman" w:eastAsia="Times New Roman" w:hAnsi="Times New Roman" w:cs="Times New Roman"/>
          <w:sz w:val="20"/>
          <w:szCs w:val="20"/>
        </w:rPr>
        <w:sectPr>
          <w:pgSz w:w="11906" w:h="16838"/>
          <w:pgMar w:top="640" w:right="587" w:bottom="640" w:left="1702" w:header="720" w:footer="720"/>
          <w:cols w:space="720"/>
          <w:titlePg w:val="0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0"/>
          <w:szCs w:val="20"/>
          <w:u w:val="none"/>
          <w:rtl w:val="0"/>
        </w:rPr>
        <w:t xml:space="preserve">G. Čiakienė 2023-12-20 </w:t>
      </w:r>
    </w:p>
    <w:p>
      <w:pPr>
        <w:bidi w:val="0"/>
        <w:spacing w:before="221" w:after="0" w:line="265" w:lineRule="atLeast"/>
        <w:ind w:left="4899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PATVIRTINTA: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317" w:lineRule="atLeast"/>
        <w:ind w:left="4899" w:right="155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direktoriaus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2023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gruodžio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įsakymu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Nr.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bidi w:val="0"/>
        <w:spacing w:before="318" w:after="0" w:line="275" w:lineRule="atLeast"/>
        <w:ind w:left="324" w:right="245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VYKDYMO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DUOMENŲ,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VYKDANT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STEBĖJIMĄ,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bidi w:val="0"/>
        <w:spacing w:before="8" w:after="0" w:line="265" w:lineRule="atLeast"/>
        <w:ind w:left="672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"/>
        </w:numPr>
        <w:tabs>
          <w:tab w:val="num" w:pos="240"/>
          <w:tab w:val="clear" w:pos="960"/>
        </w:tabs>
        <w:bidi w:val="0"/>
        <w:spacing w:before="286" w:after="0" w:line="265" w:lineRule="atLeast"/>
        <w:ind w:left="240" w:right="-200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Bendrosios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nuostatos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"/>
        </w:numPr>
        <w:tabs>
          <w:tab w:val="clear" w:pos="949"/>
          <w:tab w:val="num" w:pos="1049"/>
        </w:tabs>
        <w:bidi w:val="0"/>
        <w:spacing w:before="10" w:after="0" w:line="265" w:lineRule="atLeast"/>
        <w:ind w:left="1049" w:right="-200" w:hanging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200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Direkcija)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Gamtos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mokyklų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Lankytojų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centro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aplinkui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esančiose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lauko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erdvėse,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2016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balandžio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27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Europos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Parlamento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Tarybos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(ES)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2016/679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fizinių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laisvo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tokių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judėjimo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kuriuo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panaikinama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Direktyva95/46/EB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(Bendrasis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reglamentas)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BDAR)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nuostatų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įgyvendinimą,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Lietuvos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Respublikos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teisinės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įstatymo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taikymą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įgyvendinimą.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3"/>
        </w:numPr>
        <w:tabs>
          <w:tab w:val="num" w:pos="1073"/>
          <w:tab w:val="clear" w:pos="1193"/>
        </w:tabs>
        <w:bidi w:val="0"/>
        <w:spacing w:before="10" w:after="0" w:line="265" w:lineRule="atLeast"/>
        <w:ind w:left="1073" w:right="-200" w:hanging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vadovaujamasi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BDAR,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nuostatomis.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"/>
        </w:numPr>
        <w:tabs>
          <w:tab w:val="num" w:pos="986"/>
          <w:tab w:val="clear" w:pos="1128"/>
        </w:tabs>
        <w:bidi w:val="0"/>
        <w:spacing w:before="10" w:after="0" w:line="265" w:lineRule="atLeast"/>
        <w:ind w:left="986" w:right="-20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vartojamos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sąvokos: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5"/>
        </w:numPr>
        <w:tabs>
          <w:tab w:val="clear" w:pos="1189"/>
          <w:tab w:val="num" w:pos="1200"/>
        </w:tabs>
        <w:bidi w:val="0"/>
        <w:spacing w:before="10" w:after="0" w:line="265" w:lineRule="atLeast"/>
        <w:ind w:left="1200" w:right="-200" w:hanging="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įskaitant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ir/ar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užfiksuoti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laikotarpį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(Priedas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Nr.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sz w:val="24"/>
          <w:szCs w:val="24"/>
          <w:u w:val="none"/>
          <w:rtl w:val="0"/>
          <w:lang w:bidi="lt-LT"/>
        </w:rPr>
        <w:t>1);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"/>
        </w:numPr>
        <w:tabs>
          <w:tab w:val="clear" w:pos="949"/>
          <w:tab w:val="num" w:pos="1174"/>
        </w:tabs>
        <w:bidi w:val="0"/>
        <w:spacing w:before="10" w:after="0" w:line="265" w:lineRule="atLeast"/>
        <w:ind w:left="1174" w:right="-200" w:hanging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įrašymo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techninė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sz w:val="24"/>
          <w:szCs w:val="24"/>
          <w:u w:val="none"/>
          <w:rtl w:val="0"/>
          <w:lang w:bidi="lt-LT"/>
        </w:rPr>
        <w:t>programinė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įranga,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sz w:val="24"/>
          <w:szCs w:val="24"/>
          <w:u w:val="none"/>
          <w:rtl w:val="0"/>
          <w:lang w:bidi="lt-LT"/>
        </w:rPr>
        <w:t>kuria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vykdomas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sz w:val="24"/>
          <w:szCs w:val="24"/>
          <w:u w:val="none"/>
          <w:rtl w:val="0"/>
          <w:lang w:bidi="lt-LT"/>
        </w:rPr>
        <w:t>stebėjimas: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7"/>
        </w:numPr>
        <w:tabs>
          <w:tab w:val="num" w:pos="840"/>
          <w:tab w:val="clear" w:pos="1139"/>
        </w:tabs>
        <w:bidi w:val="0"/>
        <w:spacing w:before="10" w:after="0" w:line="265" w:lineRule="atLeast"/>
        <w:ind w:left="840" w:right="-200" w:hanging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Hikvision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BULLET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kamera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DS-2CV2041G2-IDW(E)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F2.8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lauko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erdvių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stebėjimui;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7"/>
        </w:numPr>
        <w:tabs>
          <w:tab w:val="num" w:pos="840"/>
          <w:tab w:val="clear" w:pos="1139"/>
        </w:tabs>
        <w:bidi w:val="0"/>
        <w:spacing w:before="11" w:after="0" w:line="265" w:lineRule="atLeast"/>
        <w:ind w:left="840" w:right="-200" w:hanging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Hikvision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DOME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kamera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D/N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DS-2CV2141G2-IDW(E)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F2.8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vidaus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bendrųjų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koridorių,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laiptinių,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stebėjimui;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8"/>
        </w:numPr>
        <w:tabs>
          <w:tab w:val="num" w:pos="835"/>
          <w:tab w:val="clear" w:pos="1217"/>
        </w:tabs>
        <w:bidi w:val="0"/>
        <w:spacing w:before="10" w:after="0" w:line="265" w:lineRule="atLeast"/>
        <w:ind w:left="835" w:right="-200" w:hanging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Hikvision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bullet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ds-2cd2t63g2-4l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f2.8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vidaus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bendrųjų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koridorių,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laiptinių,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stebėjimui;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9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įrašymo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įrenginys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Hikvision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nvr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ds-7732nxi-k4/16p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0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vieta,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sumontuota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10"/>
        </w:numPr>
        <w:bidi w:val="0"/>
        <w:spacing w:before="12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Purvynės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g.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8A,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Neringa;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1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Smiltynės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g.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10,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Klaipėda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1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Smiltynės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g.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12,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Klaipėda;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1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L.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Rėzos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242424"/>
          <w:spacing w:val="0"/>
          <w:w w:val="100"/>
          <w:sz w:val="24"/>
          <w:szCs w:val="24"/>
          <w:u w:val="none"/>
          <w:rtl w:val="0"/>
          <w:lang w:bidi="lt-LT"/>
        </w:rPr>
        <w:t>g.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8,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Neringa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auto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0"/>
        </w:numPr>
        <w:bidi w:val="0"/>
        <w:spacing w:before="1" w:after="0" w:line="275" w:lineRule="atLeast"/>
        <w:ind w:right="-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fizinė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elektroninio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ryšio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priemonėmis,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suteikianti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asmeniui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galimybę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keisti,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šalinti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atnaujinti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komponentes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pačią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parametrus.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1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yra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Direkcija,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įstaigos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kodas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193064642,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Naglių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sz w:val="24"/>
          <w:szCs w:val="24"/>
          <w:u w:val="none"/>
          <w:rtl w:val="0"/>
          <w:lang w:bidi="lt-LT"/>
        </w:rPr>
        <w:t>g.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8,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Neringa.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2"/>
        </w:numPr>
        <w:bidi w:val="0"/>
        <w:spacing w:before="28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apimtis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3"/>
        </w:numPr>
        <w:bidi w:val="0"/>
        <w:spacing w:before="7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patikėjimo,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nuosavybės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teisiniu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77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pagrindu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valdomų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materialinių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išteklių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Turtas),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vietose,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14"/>
        </w:numPr>
        <w:bidi w:val="0"/>
        <w:spacing w:before="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1.3.3.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Gamtos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mokyklų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Lankytojų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centro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aplinkui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esančiose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lauko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erdvėse.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5"/>
        </w:numPr>
        <w:bidi w:val="0"/>
        <w:spacing w:before="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įrengiama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taip,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apimtis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didesnė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6"/>
        </w:numPr>
        <w:bidi w:val="0"/>
        <w:spacing w:before="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draudžiama: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sectPr>
          <w:pgSz w:w="11906" w:h="16841"/>
          <w:pgMar w:top="640" w:right="667" w:bottom="640" w:left="1702" w:header="720" w:footer="720"/>
          <w:cols w:space="720"/>
          <w:titlePg w:val="0"/>
        </w:sectPr>
      </w:pPr>
    </w:p>
    <w:p>
      <w:pPr>
        <w:numPr>
          <w:ilvl w:val="0"/>
          <w:numId w:val="17"/>
        </w:numPr>
        <w:bidi w:val="0"/>
        <w:spacing w:before="14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įrengti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eksploatuoti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lauką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patektų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privati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teritorija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dalis,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įėjimas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ją;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8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vaizdą: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19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(valstybės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tarnautojų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sutartį)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195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(toliau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darbuotojai)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vietose,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išskyrus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funkcijas;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0"/>
        </w:numPr>
        <w:bidi w:val="0"/>
        <w:spacing w:before="9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patalpose,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pagrįstai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tikisi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absoliučios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privatumo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toks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žemintų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žmogaus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orumą;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slaptomis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kameromis.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22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apimtis,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keičiami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pakeitus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Taisykles.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2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negali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naudojami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nesusijusiems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94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apibrėžtu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tikslu.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23"/>
        </w:numPr>
        <w:bidi w:val="0"/>
        <w:spacing w:before="28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funkcijos,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pareigos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4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teises: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rengti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priimti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vidinius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aktus,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vykdymą;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spręsti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teikimo;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paskirti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atsakingą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asmenį/-is;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sudaryti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sutartis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paslaugų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teikėju/-ais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priežiūros;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4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pareigas: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5"/>
        </w:numPr>
        <w:bidi w:val="0"/>
        <w:spacing w:before="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BDAR,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kituose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aktuose,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reikalavimų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laikymąsi;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6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„Duomenų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200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aprašo“,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patvirtinto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direktoriaus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2022-09-27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įsakymu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Nr.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TV-9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7"/>
        </w:numPr>
        <w:bidi w:val="0"/>
        <w:spacing w:before="9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tinkamas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priemones;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8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parinkti,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parenkami,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tokius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priežiūros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paslaugų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teikėjus,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garantuotų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reikiamas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priemones;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29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pranešti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Valstybinei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inspekcijai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Lietuvos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Respublikos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Vyriausybės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0"/>
        </w:numPr>
        <w:bidi w:val="0"/>
        <w:spacing w:before="7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Valstybinei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inspekcijos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leidimą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atlikti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veiksmus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33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straipsnio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dalyje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numatytais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atvejais.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atlieka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funkcijas: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2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apimtį;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2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diegimo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1.3.3.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vietose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patalpose;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3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analizuoja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technologines,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metodologines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9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problemas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priima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sprendimus,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reikalingus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tinkamam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vykdymui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4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funkcijas,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reikalingas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3.1.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3.2.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punktuose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pareigas.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5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teisę: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50" w:firstLine="566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3.4.1.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reikalauti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suteikta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ir/ar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laikomasi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reikalavimų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aktų.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6"/>
        </w:numPr>
        <w:bidi w:val="0"/>
        <w:spacing w:before="7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privalo: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7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atsitiktinio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neteisėto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sunaikinimo,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pakeitimo,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atskleidimo,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kokio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neteisėto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38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numatyti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priemones,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mažinančias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3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atskleidimo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praradimo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riziką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užtikrinančias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prarastų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atkūrimą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klastojimo;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39"/>
        </w:numPr>
        <w:bidi w:val="0"/>
        <w:spacing w:before="1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organizavimo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principus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tvarką;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39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0"/>
        </w:numPr>
        <w:bidi w:val="0"/>
        <w:spacing w:before="1" w:after="0" w:line="275" w:lineRule="atLeast"/>
        <w:ind w:right="-19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informavimą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metu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įgyvendinimą;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4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tinkamai;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4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naujai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priimtų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supažindinimą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Taisyklėmis;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40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suteiktos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5.1.1.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subjektams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pateikti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atitiktų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tvarkomus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2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aprėptys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didesnės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2"/>
        </w:numPr>
        <w:bidi w:val="0"/>
        <w:spacing w:before="12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naikinami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terminais;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3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vadovaujantis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Taisyklėmis,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BDAR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reglamentuojančiais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aktais.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4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funkcijas: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45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diegimą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priežiūrą;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5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koordinuoja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įrašymo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veiksmus;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5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pagal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poreikį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palaiko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ryšius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priežiūros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palaikymo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paslaugų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teikėju/ais;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6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prireikus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formuoja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išrašus;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6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inicijuoja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būtinas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priemones,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siekiant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kad: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566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3.6.5.1.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pasiekiami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iš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vidinio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kompiuterių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tinklo;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7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parametrus;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7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prižiūri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veikimą,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pagal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kompetenciją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šalina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sutrikimus.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8"/>
        </w:numPr>
        <w:bidi w:val="0"/>
        <w:spacing w:before="28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teikimas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gavėjai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49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prašymu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2" w:after="0" w:line="273" w:lineRule="atLeast"/>
        <w:ind w:left="0" w:right="-190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subjekto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aprašo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10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dalyje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0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tretiesiems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asmenims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5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1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straipsnyje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teisėto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kriterijui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pagal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prašymą,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atitinkantį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ADTAĮ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6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straipsnio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reikalavimus.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įrašai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sprendimu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gali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pateikti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ikiteisminio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tyrimo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190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įstaigai,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prokurorui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teismui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žinioje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administracinių,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civilinių,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baudžiamųjų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bylų,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įrodymai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įstatymų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atvejais.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2"/>
        </w:numPr>
        <w:bidi w:val="0"/>
        <w:spacing w:before="285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Techninės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organizacinės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priemonės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3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Siekiant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kontrolę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įgyvendina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organizacinės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technines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priemonės: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4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suteikiama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darbuotojams: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5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darbuotojui,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atsakingam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įdiegimą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priežiūrą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8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Bendrųjų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skyriaus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Informacinių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technologijų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specialistui,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nesant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Bendrųjų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skyriaus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vedėjui;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56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darbuotojui,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atsakingam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teikimą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4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dalyje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gavėjams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pareigūnui.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7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5.1.1.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privalo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pasirašę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37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Susitarimą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konfidencialios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informacijos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naudojimo,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patvirtintą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direktoriaus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2023- 07-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28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įsakymu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Nr.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V-71;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8"/>
        </w:numPr>
        <w:bidi w:val="0"/>
        <w:spacing w:before="16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panaikinamos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pasibaigus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1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valdytojo)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tarnybai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santykiams,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pasikeitus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funkcijoms,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kurioms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vykdyti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nereikalinga;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59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slaptažodžiai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suteikiami,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keičiami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konfidencialumą;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0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Ribojama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kontroliuojama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neturinčių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įgaliojimų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prieiga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įrangos;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1"/>
          <w:numId w:val="61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Užtikrinama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kenksmingos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programinės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1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įdiegtos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nuolatos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atnaujinamos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vidinio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tinklo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antivirusinės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priemonės.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61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Atsarginės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kopijos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nedaromos.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61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įrašomi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Priede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Nr.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terminais.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198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Pasibaigus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nustatytam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terminui,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automatiniu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būdu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sunaikinami.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Jei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naudojami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įrodymai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civilinėje,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administracinėje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baudžiamojoje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byloje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įstatymų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nustatytais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atvejais,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duomenys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gali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tiek,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kiek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reikalinga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tikslams,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sunaikinami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nedelsiant,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tampa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nebereikalingi.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2"/>
        </w:numPr>
        <w:bidi w:val="0"/>
        <w:spacing w:before="285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reagavimo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šiuos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pažeidimus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63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valdytojo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tvarkytojo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(Direkcijos)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darbuotojai,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nurodyti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3"/>
        </w:numPr>
        <w:bidi w:val="0"/>
        <w:spacing w:before="1" w:after="0" w:line="27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punkte,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pastebėję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(veiksmus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neveikimą,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galinčius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sukelti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sukeliančius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grėsmę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saugumui)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turi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informuoti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direktorių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ir/ar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asmens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pareigūną.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1"/>
          <w:numId w:val="63"/>
        </w:numPr>
        <w:bidi w:val="0"/>
        <w:spacing w:before="11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Įvertinus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rizikos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veiksnius,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poveikio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6" w:lineRule="atLeast"/>
        <w:ind w:left="0" w:right="-198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laipsnį,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žalą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padarinius,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kiekvienu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konkrečiu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atveju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direktorius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priima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sprendimus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dėl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priemonių,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reikiamų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apsaugos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pažeidimui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padariniams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pašalinti.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4"/>
        </w:numPr>
        <w:bidi w:val="0"/>
        <w:spacing w:before="285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Baigiamosios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nuostatos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numPr>
          <w:ilvl w:val="0"/>
          <w:numId w:val="65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Patvirtinus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pakeitus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Taisykles,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jomis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pakeitimais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visi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supažindinami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per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dokumentų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valdymo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sistemą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DBSIS.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66"/>
        </w:numPr>
        <w:bidi w:val="0"/>
        <w:spacing w:before="10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Priėmus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naują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darbuotoją,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Taisyklėmis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privalo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būti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supažindintas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pirmąją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jo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" w:after="0" w:line="275" w:lineRule="atLeast"/>
        <w:ind w:left="0" w:right="-197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dieną.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sz w:val="24"/>
          <w:szCs w:val="24"/>
          <w:u w:val="none"/>
          <w:rtl w:val="0"/>
          <w:lang w:bidi="lt-LT"/>
        </w:rPr>
        <w:t>Už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supažindinimą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Taisyklėmis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atsakingas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skyriaus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kurį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priimamas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darbuotojas,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vedėjas.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</w:p>
    <w:p>
      <w:pPr>
        <w:numPr>
          <w:ilvl w:val="0"/>
          <w:numId w:val="67"/>
        </w:numPr>
        <w:bidi w:val="0"/>
        <w:spacing w:before="8" w:after="0" w:line="265" w:lineRule="atLeast"/>
        <w:ind w:right="-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rečiau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kaip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kartą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per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2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metus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peržiūrimos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ir,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reikalui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esant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ar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pasikeitus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tvarkymą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reglamentuojantiems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teisės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aktams,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atnaujinamos.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0" w:after="0" w:line="265" w:lineRule="atLeast"/>
        <w:ind w:left="3598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5"/>
          <w:pgSz w:w="11906" w:h="16841"/>
          <w:pgMar w:top="1220" w:right="786" w:bottom="980" w:left="1702" w:header="720" w:footer="720"/>
          <w:cols w:space="720"/>
          <w:titlePg w:val="0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________________________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131" w:after="0" w:line="276" w:lineRule="atLeast"/>
        <w:ind w:left="4541" w:right="440" w:firstLine="0"/>
        <w:jc w:val="left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tvarkymo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Kuršių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nerijos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nacionalinio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parko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direkcijoje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taisyklių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9" w:after="0" w:line="265" w:lineRule="atLeast"/>
        <w:ind w:left="4541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1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priedas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275" w:after="0" w:line="275" w:lineRule="atLeast"/>
        <w:ind w:left="583" w:right="263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DUOMENŲ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GAUTŲ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VAIZDO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STEBĖJIMO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ĮRANGA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SAUGOJIMO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TERMINŲ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  <w:lang w:bidi="lt-LT"/>
        </w:rPr>
        <w:t>SĄRAŠAS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 </w:t>
      </w:r>
    </w:p>
    <w:p>
      <w:pPr>
        <w:bidi w:val="0"/>
        <w:spacing w:before="256" w:after="0" w:line="22" w:lineRule="atLeast"/>
        <w:ind w:left="0" w:right="0" w:firstLine="0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"/>
          <w:szCs w:val="2"/>
          <w:u w:val="none"/>
          <w:rtl w:val="0"/>
        </w:rPr>
        <w:t xml:space="preserve"> </w:t>
      </w:r>
    </w:p>
    <w:tbl>
      <w:tblPr>
        <w:tblStyle w:val="TableNormal"/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2453"/>
        <w:gridCol w:w="1030"/>
        <w:gridCol w:w="3927"/>
        <w:gridCol w:w="1277"/>
      </w:tblGrid>
      <w:tr>
        <w:tblPrEx>
          <w:tblW w:w="0" w:type="auto"/>
          <w:tblInd w:w="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exact" w:val="11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54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1" w:after="0" w:line="27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Eil.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343" w:type="dxa"/>
              <w:right w:w="185" w:type="dxa"/>
            </w:tcMar>
            <w:tcFitText w:val="0"/>
            <w:vAlign w:val="center"/>
          </w:tcPr>
          <w:p>
            <w:pPr>
              <w:bidi w:val="0"/>
              <w:spacing w:before="1" w:after="0" w:line="275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Vaizdo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stebėjimo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vietos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adresas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1" w:after="0" w:line="275" w:lineRule="atLeast"/>
              <w:ind w:left="0" w:right="0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Vaizdo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kamerų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skaičius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372" w:type="dxa"/>
              <w:right w:w="217" w:type="dxa"/>
            </w:tcMar>
            <w:tcFitText w:val="0"/>
            <w:vAlign w:val="center"/>
          </w:tcPr>
          <w:p>
            <w:pPr>
              <w:bidi w:val="0"/>
              <w:spacing w:before="1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Stebimos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teritorijos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patalpos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1" w:after="0" w:line="275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Vaizdo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duomenų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saugojimo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terminai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  <w:tr>
        <w:tblPrEx>
          <w:tblW w:w="0" w:type="auto"/>
          <w:tblInd w:w="154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7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240" w:type="dxa"/>
              <w:right w:w="80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left w:w="108" w:type="dxa"/>
              <w:right w:w="640" w:type="dxa"/>
            </w:tcMar>
            <w:tcFitText w:val="0"/>
            <w:vAlign w:val="top"/>
          </w:tcPr>
          <w:p>
            <w:pPr>
              <w:bidi w:val="0"/>
              <w:spacing w:before="4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Purvynės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g.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8A,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42424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Neringa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454" w:type="dxa"/>
              <w:right w:w="296" w:type="dxa"/>
            </w:tcMar>
            <w:tcFitText w:val="0"/>
            <w:vAlign w:val="top"/>
          </w:tcPr>
          <w:p>
            <w:pPr>
              <w:bidi w:val="0"/>
              <w:spacing w:before="14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1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pietinės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prieigos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num" w:pos="240"/>
                <w:tab w:val="clear" w:pos="960"/>
              </w:tabs>
              <w:bidi w:val="0"/>
              <w:spacing w:before="1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iš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kiemo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(langai,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durys).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num" w:pos="240"/>
                <w:tab w:val="clear" w:pos="960"/>
              </w:tabs>
              <w:bidi w:val="0"/>
              <w:spacing w:before="1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Terasa,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esanti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pietinėje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pusėje,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dviračių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stovai.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num" w:pos="240"/>
                <w:tab w:val="clear" w:pos="960"/>
              </w:tabs>
              <w:bidi w:val="0"/>
              <w:spacing w:before="1" w:after="0" w:line="27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esantys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suolai,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stalai,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mediniai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takai,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žaliosios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dalis.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num" w:pos="240"/>
                <w:tab w:val="clear" w:pos="960"/>
              </w:tabs>
              <w:bidi w:val="0"/>
              <w:spacing w:before="11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Mokymų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klasės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76" w:type="dxa"/>
            </w:tcMar>
            <w:tcFitText w:val="0"/>
            <w:vAlign w:val="top"/>
          </w:tcPr>
          <w:p>
            <w:pPr>
              <w:bidi w:val="0"/>
              <w:spacing w:before="14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dienų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  <w:tr>
        <w:tblPrEx>
          <w:tblW w:w="0" w:type="auto"/>
          <w:tblInd w:w="154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240" w:type="dxa"/>
              <w:right w:w="80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624" w:type="dxa"/>
            </w:tcMar>
            <w:tcFitText w:val="0"/>
            <w:vAlign w:val="top"/>
          </w:tcPr>
          <w:p>
            <w:pPr>
              <w:bidi w:val="0"/>
              <w:spacing w:before="5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Smiltynės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g.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10,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Neringa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454" w:type="dxa"/>
              <w:right w:w="296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55" w:type="dxa"/>
            </w:tcMar>
            <w:tcFitText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num" w:pos="240"/>
                <w:tab w:val="clear" w:pos="949"/>
              </w:tabs>
              <w:bidi w:val="0"/>
              <w:spacing w:before="1" w:after="0" w:line="265" w:lineRule="atLeast"/>
              <w:ind w:left="24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prieigos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</w:t>
            </w:r>
          </w:p>
          <w:p>
            <w:pPr>
              <w:numPr>
                <w:ilvl w:val="0"/>
                <w:numId w:val="2"/>
              </w:numPr>
              <w:tabs>
                <w:tab w:val="num" w:pos="240"/>
                <w:tab w:val="clear" w:pos="949"/>
              </w:tabs>
              <w:bidi w:val="0"/>
              <w:spacing w:before="1" w:after="0" w:line="276" w:lineRule="atLeast"/>
              <w:ind w:left="24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Privažiavimo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(suolas,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dviračių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stovai).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num" w:pos="240"/>
                <w:tab w:val="clear" w:pos="949"/>
              </w:tabs>
              <w:bidi w:val="0"/>
              <w:spacing w:before="0" w:after="0" w:line="275" w:lineRule="atLeast"/>
              <w:ind w:left="24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iš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kiemo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(langai,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durys).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num" w:pos="240"/>
                <w:tab w:val="clear" w:pos="949"/>
              </w:tabs>
              <w:bidi w:val="0"/>
              <w:spacing w:before="1" w:after="0" w:line="276" w:lineRule="atLeast"/>
              <w:ind w:left="24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esanti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žaliosios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dalis.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num" w:pos="240"/>
                <w:tab w:val="clear" w:pos="949"/>
              </w:tabs>
              <w:bidi w:val="0"/>
              <w:spacing w:before="10" w:after="0" w:line="265" w:lineRule="atLeast"/>
              <w:ind w:left="24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Eksponatų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edukacinė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76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dienų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  <w:tr>
        <w:tblPrEx>
          <w:tblW w:w="0" w:type="auto"/>
          <w:tblInd w:w="154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7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240" w:type="dxa"/>
              <w:right w:w="80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3.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684" w:type="dxa"/>
            </w:tcMar>
            <w:tcFitText w:val="0"/>
            <w:vAlign w:val="top"/>
          </w:tcPr>
          <w:p>
            <w:pPr>
              <w:bidi w:val="0"/>
              <w:spacing w:before="5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Smiltynės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12,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Klaipėda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454" w:type="dxa"/>
              <w:right w:w="296" w:type="dxa"/>
            </w:tcMar>
            <w:tcFitText w:val="0"/>
            <w:vAlign w:val="top"/>
          </w:tcPr>
          <w:p>
            <w:pPr>
              <w:bidi w:val="0"/>
              <w:spacing w:before="14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7" w:type="dxa"/>
            </w:tcMar>
            <w:tcFitText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num" w:pos="240"/>
                <w:tab w:val="clear" w:pos="1193"/>
              </w:tabs>
              <w:bidi w:val="0"/>
              <w:spacing w:before="1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rytų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prieigos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tabs>
                <w:tab w:val="num" w:pos="240"/>
                <w:tab w:val="clear" w:pos="1193"/>
              </w:tabs>
              <w:bidi w:val="0"/>
              <w:spacing w:before="0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Privažiavimo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iš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num" w:pos="240"/>
                <w:tab w:val="clear" w:pos="1193"/>
              </w:tabs>
              <w:bidi w:val="0"/>
              <w:spacing w:before="2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iš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rytinės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(suolai,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dviračių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stovai)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tabs>
                <w:tab w:val="num" w:pos="240"/>
                <w:tab w:val="clear" w:pos="1193"/>
              </w:tabs>
              <w:bidi w:val="0"/>
              <w:spacing w:before="1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esanti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žaliosios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dalis.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num" w:pos="240"/>
                <w:tab w:val="clear" w:pos="1193"/>
              </w:tabs>
              <w:bidi w:val="0"/>
              <w:spacing w:before="0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Eksponatų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salės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–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mokymų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klasės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76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dienų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  <w:tr>
        <w:tblPrEx>
          <w:tblW w:w="0" w:type="auto"/>
          <w:tblInd w:w="154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38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240" w:type="dxa"/>
              <w:right w:w="20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4.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20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L.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Rėzos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g.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8,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Neringa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394" w:type="dxa"/>
              <w:right w:w="236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0" w:type="dxa"/>
            </w:tcMar>
            <w:tcFitText w:val="0"/>
            <w:vAlign w:val="center"/>
          </w:tcPr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prieigų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(4)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(langai,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durys).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Rėzos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g.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pėsčiųjų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tako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rytinės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dalies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atkarpa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(~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m).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" w:after="0" w:line="27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Privažiavimo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prie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pastato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vakarinės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šiaurinės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(automobilių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įkrovimo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stotelė,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dviračių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stovai).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0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Sklypo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pietinės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pusės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dalis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žalioji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zona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(suolai,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takai,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pergolės).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" w:after="0" w:line="27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Ekspozicijos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erdvės/skaityklos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1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Vestibiulio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tabs>
                <w:tab w:val="num" w:pos="240"/>
                <w:tab w:val="clear" w:pos="1128"/>
              </w:tabs>
              <w:bidi w:val="0"/>
              <w:spacing w:before="11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Ekspozicijos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salės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176" w:type="dxa"/>
            </w:tcMar>
            <w:tcFitText w:val="0"/>
            <w:vAlign w:val="top"/>
          </w:tcPr>
          <w:p>
            <w:pPr>
              <w:bidi w:val="0"/>
              <w:spacing w:before="15" w:after="0" w:line="265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dienų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</w:tbl>
    <w:p>
      <w:pPr>
        <w:bidi w:val="0"/>
        <w:spacing w:before="9" w:after="0" w:line="265" w:lineRule="atLeast"/>
        <w:ind w:left="4619" w:right="-20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sz w:val="24"/>
          <w:szCs w:val="24"/>
          <w:u w:val="none"/>
          <w:rtl w:val="0"/>
        </w:rPr>
        <w:t xml:space="preserve">2 </w:t>
      </w:r>
    </w:p>
    <w:p>
      <w:pPr>
        <w:bidi w:val="0"/>
        <w:spacing w:before="210" w:after="0" w:line="22" w:lineRule="atLeast"/>
        <w:ind w:left="0" w:right="0" w:firstLine="0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sz w:val="2"/>
          <w:szCs w:val="2"/>
          <w:u w:val="none"/>
          <w:rtl w:val="0"/>
        </w:rPr>
        <w:t xml:space="preserve">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2453"/>
        <w:gridCol w:w="1030"/>
        <w:gridCol w:w="3927"/>
        <w:gridCol w:w="127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exact" w:val="11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08" w:type="dxa"/>
              <w:right w:w="0" w:type="dxa"/>
            </w:tcMar>
            <w:tcFitText w:val="0"/>
            <w:vAlign w:val="center"/>
          </w:tcPr>
          <w:p>
            <w:pPr>
              <w:numPr>
                <w:ilvl w:val="0"/>
                <w:numId w:val="5"/>
              </w:numPr>
              <w:tabs>
                <w:tab w:val="num" w:pos="240"/>
                <w:tab w:val="clear" w:pos="1189"/>
              </w:tabs>
              <w:bidi w:val="0"/>
              <w:spacing w:before="1" w:after="0" w:line="265" w:lineRule="atLeast"/>
              <w:ind w:left="240" w:righ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Ekspozicijos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erdvė.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tabs>
                <w:tab w:val="num" w:pos="240"/>
                <w:tab w:val="clear" w:pos="1189"/>
              </w:tabs>
              <w:bidi w:val="0"/>
              <w:spacing w:before="11" w:after="0" w:line="265" w:lineRule="atLeast"/>
              <w:ind w:left="240" w:righ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Renginių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salės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patalpa.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tabs>
                <w:tab w:val="num" w:pos="240"/>
                <w:tab w:val="clear" w:pos="1189"/>
              </w:tabs>
              <w:bidi w:val="0"/>
              <w:spacing w:before="1" w:after="0" w:line="276" w:lineRule="atLeast"/>
              <w:ind w:left="240" w:right="0" w:hanging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Ekspozicijų/esukacinių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užsiėmimų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  <w:lang w:bidi="lt-LT"/>
              </w:rPr>
              <w:t>erdvė.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</w:tr>
    </w:tbl>
    <w:p/>
    <w:sectPr>
      <w:pgSz w:w="11906" w:h="16841"/>
      <w:pgMar w:top="720" w:right="852" w:bottom="1020" w:left="1702" w:header="720" w:footer="72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  <w:spacing w:before="0" w:after="0" w:line="265" w:lineRule="exact"/>
      <w:ind w:left="4619" w:right="-200" w:firstLine="0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begin"/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instrText xml:space="preserve"> PAGE </w:instrTex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separate"/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t>5</w:t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fldChar w:fldCharType="end"/>
    </w:r>
    <w: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pacing w:val="0"/>
        <w:w w:val="100"/>
        <w:sz w:val="24"/>
        <w:szCs w:val="24"/>
        <w:u w:val="none"/>
        <w:rtl w:val="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949"/>
        </w:tabs>
        <w:ind w:left="949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2.%1."/>
      <w:lvlJc w:val="left"/>
      <w:pPr>
        <w:tabs>
          <w:tab w:val="num" w:pos="1193"/>
        </w:tabs>
        <w:ind w:left="1193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2.%1."/>
      <w:lvlJc w:val="left"/>
      <w:pPr>
        <w:tabs>
          <w:tab w:val="num" w:pos="1128"/>
        </w:tabs>
        <w:ind w:left="1128" w:hanging="41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2.%1."/>
      <w:lvlJc w:val="left"/>
      <w:pPr>
        <w:tabs>
          <w:tab w:val="num" w:pos="1189"/>
        </w:tabs>
        <w:ind w:left="1189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949"/>
        </w:tabs>
        <w:ind w:left="949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3.%1."/>
      <w:lvlJc w:val="left"/>
      <w:pPr>
        <w:tabs>
          <w:tab w:val="num" w:pos="1139"/>
        </w:tabs>
        <w:ind w:left="1139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3.%1."/>
      <w:lvlJc w:val="left"/>
      <w:pPr>
        <w:tabs>
          <w:tab w:val="num" w:pos="1217"/>
        </w:tabs>
        <w:ind w:left="1217" w:hanging="50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-"/>
      <w:lvlJc w:val="left"/>
      <w:pPr>
        <w:tabs>
          <w:tab w:val="num" w:pos="847"/>
        </w:tabs>
        <w:ind w:left="847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3"/>
      <w:numFmt w:val="decimal"/>
      <w:lvlText w:val="1.3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-"/>
      <w:lvlJc w:val="left"/>
      <w:pPr>
        <w:tabs>
          <w:tab w:val="num" w:pos="847"/>
        </w:tabs>
        <w:ind w:left="847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42424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4"/>
      <w:numFmt w:val="decimal"/>
      <w:lvlText w:val="1.%1."/>
      <w:lvlJc w:val="left"/>
      <w:pPr>
        <w:tabs>
          <w:tab w:val="num" w:pos="1010"/>
        </w:tabs>
        <w:ind w:left="1010" w:hanging="44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2.%1."/>
      <w:lvlJc w:val="left"/>
      <w:pPr>
        <w:tabs>
          <w:tab w:val="num" w:pos="1020"/>
        </w:tabs>
        <w:ind w:left="1020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2"/>
      <w:numFmt w:val="decimal"/>
      <w:lvlText w:val="2.%1."/>
      <w:lvlJc w:val="left"/>
      <w:pPr>
        <w:tabs>
          <w:tab w:val="num" w:pos="1020"/>
        </w:tabs>
        <w:ind w:left="1020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0F"/>
    <w:multiLevelType w:val="multilevel"/>
    <w:tmpl w:val="0000000F"/>
    <w:lvl w:ilvl="0">
      <w:start w:val="3"/>
      <w:numFmt w:val="decimal"/>
      <w:lvlText w:val="2.%1."/>
      <w:lvlJc w:val="left"/>
      <w:pPr>
        <w:tabs>
          <w:tab w:val="num" w:pos="1020"/>
        </w:tabs>
        <w:ind w:left="1020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0"/>
    <w:multiLevelType w:val="multilevel"/>
    <w:tmpl w:val="00000010"/>
    <w:lvl w:ilvl="0">
      <w:start w:val="4"/>
      <w:numFmt w:val="decimal"/>
      <w:lvlText w:val="2.%1."/>
      <w:lvlJc w:val="left"/>
      <w:pPr>
        <w:tabs>
          <w:tab w:val="num" w:pos="1020"/>
        </w:tabs>
        <w:ind w:left="1020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2.4.%1."/>
      <w:lvlJc w:val="left"/>
      <w:pPr>
        <w:tabs>
          <w:tab w:val="num" w:pos="1190"/>
        </w:tabs>
        <w:ind w:left="119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2"/>
    <w:multiLevelType w:val="multilevel"/>
    <w:tmpl w:val="00000012"/>
    <w:lvl w:ilvl="0">
      <w:start w:val="2"/>
      <w:numFmt w:val="decimal"/>
      <w:lvlText w:val="2.4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2.4.2.%1."/>
      <w:lvlJc w:val="left"/>
      <w:pPr>
        <w:tabs>
          <w:tab w:val="num" w:pos="1348"/>
        </w:tabs>
        <w:ind w:left="1348" w:hanging="78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multilevel"/>
    <w:tmpl w:val="00000014"/>
    <w:lvl w:ilvl="0">
      <w:start w:val="2"/>
      <w:numFmt w:val="decimal"/>
      <w:lvlText w:val="2.4.2.%1."/>
      <w:lvlJc w:val="left"/>
      <w:pPr>
        <w:tabs>
          <w:tab w:val="num" w:pos="1440"/>
        </w:tabs>
        <w:ind w:left="1440" w:hanging="87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00000015"/>
    <w:multiLevelType w:val="multilevel"/>
    <w:tmpl w:val="00000015"/>
    <w:lvl w:ilvl="0">
      <w:start w:val="3"/>
      <w:numFmt w:val="decimal"/>
      <w:lvlText w:val="2.4.2.%1."/>
      <w:lvlJc w:val="left"/>
      <w:pPr>
        <w:tabs>
          <w:tab w:val="num" w:pos="1346"/>
        </w:tabs>
        <w:ind w:left="1346" w:hanging="7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00000016"/>
    <w:multiLevelType w:val="multilevel"/>
    <w:tmpl w:val="00000016"/>
    <w:lvl w:ilvl="0">
      <w:start w:val="5"/>
      <w:numFmt w:val="decimal"/>
      <w:lvlText w:val="2.%1."/>
      <w:lvlJc w:val="left"/>
      <w:pPr>
        <w:tabs>
          <w:tab w:val="num" w:pos="986"/>
        </w:tabs>
        <w:ind w:left="9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3.%1."/>
      <w:lvlJc w:val="left"/>
      <w:pPr>
        <w:tabs>
          <w:tab w:val="num" w:pos="986"/>
        </w:tabs>
        <w:ind w:left="9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3.1.%2."/>
      <w:lvlJc w:val="left"/>
      <w:pPr>
        <w:tabs>
          <w:tab w:val="num" w:pos="1162"/>
        </w:tabs>
        <w:ind w:left="1162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3.2.%1."/>
      <w:lvlJc w:val="left"/>
      <w:pPr>
        <w:tabs>
          <w:tab w:val="num" w:pos="1190"/>
        </w:tabs>
        <w:ind w:left="119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0000001A"/>
    <w:multiLevelType w:val="multilevel"/>
    <w:tmpl w:val="0000001A"/>
    <w:lvl w:ilvl="0">
      <w:start w:val="2"/>
      <w:numFmt w:val="decimal"/>
      <w:lvlText w:val="3.2.%1."/>
      <w:lvlJc w:val="left"/>
      <w:pPr>
        <w:tabs>
          <w:tab w:val="num" w:pos="1322"/>
        </w:tabs>
        <w:ind w:left="1322" w:hanging="75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0000001B"/>
    <w:multiLevelType w:val="multilevel"/>
    <w:tmpl w:val="0000001B"/>
    <w:lvl w:ilvl="0">
      <w:start w:val="3"/>
      <w:numFmt w:val="decimal"/>
      <w:lvlText w:val="3.2.%1."/>
      <w:lvlJc w:val="left"/>
      <w:pPr>
        <w:tabs>
          <w:tab w:val="num" w:pos="1265"/>
        </w:tabs>
        <w:ind w:left="1265" w:hanging="69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0000001C"/>
    <w:multiLevelType w:val="multilevel"/>
    <w:tmpl w:val="0000001C"/>
    <w:lvl w:ilvl="0">
      <w:start w:val="4"/>
      <w:numFmt w:val="decimal"/>
      <w:lvlText w:val="3.2.%1."/>
      <w:lvlJc w:val="left"/>
      <w:pPr>
        <w:tabs>
          <w:tab w:val="num" w:pos="1190"/>
        </w:tabs>
        <w:ind w:left="119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0000001D"/>
    <w:multiLevelType w:val="multilevel"/>
    <w:tmpl w:val="0000001D"/>
    <w:lvl w:ilvl="0">
      <w:start w:val="5"/>
      <w:numFmt w:val="decimal"/>
      <w:lvlText w:val="3.2.%1."/>
      <w:lvlJc w:val="left"/>
      <w:pPr>
        <w:tabs>
          <w:tab w:val="num" w:pos="1186"/>
        </w:tabs>
        <w:ind w:left="1186" w:hanging="6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0000001E"/>
    <w:multiLevelType w:val="multilevel"/>
    <w:tmpl w:val="0000001E"/>
    <w:lvl w:ilvl="0">
      <w:start w:val="6"/>
      <w:numFmt w:val="decimal"/>
      <w:lvlText w:val="3.2.%1."/>
      <w:lvlJc w:val="left"/>
      <w:pPr>
        <w:tabs>
          <w:tab w:val="num" w:pos="1210"/>
        </w:tabs>
        <w:ind w:left="1210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0000001F"/>
    <w:multiLevelType w:val="multilevel"/>
    <w:tmpl w:val="0000001F"/>
    <w:lvl w:ilvl="0">
      <w:start w:val="3"/>
      <w:numFmt w:val="decimal"/>
      <w:lvlText w:val="3.%1."/>
      <w:lvlJc w:val="left"/>
      <w:pPr>
        <w:tabs>
          <w:tab w:val="num" w:pos="986"/>
        </w:tabs>
        <w:ind w:left="9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3.3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00000021"/>
    <w:multiLevelType w:val="multilevel"/>
    <w:tmpl w:val="00000021"/>
    <w:lvl w:ilvl="0">
      <w:start w:val="3"/>
      <w:numFmt w:val="decimal"/>
      <w:lvlText w:val="3.3.%1."/>
      <w:lvlJc w:val="left"/>
      <w:pPr>
        <w:tabs>
          <w:tab w:val="num" w:pos="1164"/>
        </w:tabs>
        <w:ind w:left="1164" w:hanging="59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00000022"/>
    <w:multiLevelType w:val="multilevel"/>
    <w:tmpl w:val="00000022"/>
    <w:lvl w:ilvl="0">
      <w:start w:val="4"/>
      <w:numFmt w:val="decimal"/>
      <w:lvlText w:val="3.3.%1."/>
      <w:lvlJc w:val="left"/>
      <w:pPr>
        <w:tabs>
          <w:tab w:val="num" w:pos="1241"/>
        </w:tabs>
        <w:ind w:left="1241" w:hanging="6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00000023"/>
    <w:multiLevelType w:val="multilevel"/>
    <w:tmpl w:val="00000023"/>
    <w:lvl w:ilvl="0">
      <w:start w:val="4"/>
      <w:numFmt w:val="decimal"/>
      <w:lvlText w:val="3.%1."/>
      <w:lvlJc w:val="left"/>
      <w:pPr>
        <w:tabs>
          <w:tab w:val="num" w:pos="986"/>
        </w:tabs>
        <w:ind w:left="9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00000024"/>
    <w:multiLevelType w:val="multilevel"/>
    <w:tmpl w:val="00000024"/>
    <w:lvl w:ilvl="0">
      <w:start w:val="5"/>
      <w:numFmt w:val="decimal"/>
      <w:lvlText w:val="3.%1."/>
      <w:lvlJc w:val="left"/>
      <w:pPr>
        <w:tabs>
          <w:tab w:val="num" w:pos="1080"/>
        </w:tabs>
        <w:ind w:left="1080" w:hanging="51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3.5.%1."/>
      <w:lvlJc w:val="left"/>
      <w:pPr>
        <w:tabs>
          <w:tab w:val="num" w:pos="1229"/>
        </w:tabs>
        <w:ind w:left="1229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00000026"/>
    <w:multiLevelType w:val="multilevel"/>
    <w:tmpl w:val="00000026"/>
    <w:lvl w:ilvl="0">
      <w:start w:val="2"/>
      <w:numFmt w:val="decimal"/>
      <w:lvlText w:val="3.5.%1."/>
      <w:lvlJc w:val="left"/>
      <w:pPr>
        <w:tabs>
          <w:tab w:val="num" w:pos="1279"/>
        </w:tabs>
        <w:ind w:left="1279" w:hanging="71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00000027"/>
    <w:multiLevelType w:val="multilevel"/>
    <w:tmpl w:val="00000027"/>
    <w:lvl w:ilvl="0">
      <w:start w:val="3"/>
      <w:numFmt w:val="decimal"/>
      <w:lvlText w:val="3.5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3.5.4.%1."/>
      <w:lvlJc w:val="left"/>
      <w:pPr>
        <w:tabs>
          <w:tab w:val="num" w:pos="1001"/>
        </w:tabs>
        <w:ind w:left="0" w:firstLine="20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2"/>
      <w:numFmt w:val="decimal"/>
      <w:lvlText w:val="3.5.4.%2."/>
      <w:lvlJc w:val="left"/>
      <w:pPr>
        <w:tabs>
          <w:tab w:val="num" w:pos="1346"/>
        </w:tabs>
        <w:ind w:left="1346" w:hanging="7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00000029"/>
    <w:multiLevelType w:val="multilevel"/>
    <w:tmpl w:val="00000029"/>
    <w:lvl w:ilvl="0">
      <w:start w:val="5"/>
      <w:numFmt w:val="decimal"/>
      <w:lvlText w:val="3.5.4.%1."/>
      <w:lvlJc w:val="left"/>
      <w:pPr>
        <w:tabs>
          <w:tab w:val="num" w:pos="1402"/>
        </w:tabs>
        <w:ind w:left="1402" w:hanging="83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0000002A"/>
    <w:multiLevelType w:val="multilevel"/>
    <w:tmpl w:val="0000002A"/>
    <w:lvl w:ilvl="0">
      <w:start w:val="6"/>
      <w:numFmt w:val="decimal"/>
      <w:lvlText w:val="3.5.4.%1."/>
      <w:lvlJc w:val="left"/>
      <w:pPr>
        <w:tabs>
          <w:tab w:val="num" w:pos="1346"/>
        </w:tabs>
        <w:ind w:left="1346" w:hanging="7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0000002B"/>
    <w:multiLevelType w:val="multilevel"/>
    <w:tmpl w:val="0000002B"/>
    <w:lvl w:ilvl="0">
      <w:start w:val="8"/>
      <w:numFmt w:val="decimal"/>
      <w:lvlText w:val="3.5.4.%1."/>
      <w:lvlJc w:val="left"/>
      <w:pPr>
        <w:tabs>
          <w:tab w:val="num" w:pos="1337"/>
        </w:tabs>
        <w:ind w:left="1337" w:hanging="77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0000002C"/>
    <w:multiLevelType w:val="multilevel"/>
    <w:tmpl w:val="0000002C"/>
    <w:lvl w:ilvl="0">
      <w:start w:val="6"/>
      <w:numFmt w:val="decimal"/>
      <w:lvlText w:val="3.%1."/>
      <w:lvlJc w:val="left"/>
      <w:pPr>
        <w:tabs>
          <w:tab w:val="num" w:pos="986"/>
        </w:tabs>
        <w:ind w:left="9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3.6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0000002E"/>
    <w:multiLevelType w:val="multilevel"/>
    <w:tmpl w:val="0000002E"/>
    <w:lvl w:ilvl="0">
      <w:start w:val="4"/>
      <w:numFmt w:val="decimal"/>
      <w:lvlText w:val="3.6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>
    <w:nsid w:val="0000002F"/>
    <w:multiLevelType w:val="multilevel"/>
    <w:tmpl w:val="0000002F"/>
    <w:lvl w:ilvl="0">
      <w:start w:val="6"/>
      <w:numFmt w:val="decimal"/>
      <w:lvlText w:val="3.6.%1."/>
      <w:lvlJc w:val="left"/>
      <w:pPr>
        <w:tabs>
          <w:tab w:val="num" w:pos="1166"/>
        </w:tabs>
        <w:ind w:left="1166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00000030"/>
    <w:multiLevelType w:val="multilevel"/>
    <w:tmpl w:val="00000030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4.%1."/>
      <w:lvlJc w:val="left"/>
      <w:pPr>
        <w:tabs>
          <w:tab w:val="num" w:pos="979"/>
        </w:tabs>
        <w:ind w:left="979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>
    <w:nsid w:val="00000032"/>
    <w:multiLevelType w:val="multilevel"/>
    <w:tmpl w:val="00000032"/>
    <w:lvl w:ilvl="0">
      <w:start w:val="2"/>
      <w:numFmt w:val="decimal"/>
      <w:lvlText w:val="4.%1."/>
      <w:lvlJc w:val="left"/>
      <w:pPr>
        <w:tabs>
          <w:tab w:val="num" w:pos="1068"/>
        </w:tabs>
        <w:ind w:left="1068" w:hanging="50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>
    <w:nsid w:val="00000033"/>
    <w:multiLevelType w:val="multilevel"/>
    <w:tmpl w:val="00000033"/>
    <w:lvl w:ilvl="0">
      <w:start w:val="3"/>
      <w:numFmt w:val="decimal"/>
      <w:lvlText w:val="4.%1."/>
      <w:lvlJc w:val="left"/>
      <w:pPr>
        <w:tabs>
          <w:tab w:val="num" w:pos="1030"/>
        </w:tabs>
        <w:ind w:left="1030" w:hanging="46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>
    <w:nsid w:val="00000034"/>
    <w:multiLevelType w:val="multilevel"/>
    <w:tmpl w:val="00000034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5.%1."/>
      <w:lvlJc w:val="left"/>
      <w:pPr>
        <w:tabs>
          <w:tab w:val="num" w:pos="977"/>
        </w:tabs>
        <w:ind w:left="977" w:hanging="41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5.1.%1."/>
      <w:lvlJc w:val="left"/>
      <w:pPr>
        <w:tabs>
          <w:tab w:val="num" w:pos="1246"/>
        </w:tabs>
        <w:ind w:left="1246" w:hanging="6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-"/>
      <w:lvlJc w:val="left"/>
      <w:pPr>
        <w:tabs>
          <w:tab w:val="num" w:pos="734"/>
        </w:tabs>
        <w:ind w:left="734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-"/>
      <w:lvlJc w:val="left"/>
      <w:pPr>
        <w:tabs>
          <w:tab w:val="num" w:pos="742"/>
        </w:tabs>
        <w:ind w:left="742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multilevel"/>
    <w:tmpl w:val="00000039"/>
    <w:lvl w:ilvl="0">
      <w:start w:val="2"/>
      <w:numFmt w:val="decimal"/>
      <w:lvlText w:val="5.1.%1."/>
      <w:lvlJc w:val="left"/>
      <w:pPr>
        <w:tabs>
          <w:tab w:val="num" w:pos="1265"/>
        </w:tabs>
        <w:ind w:left="1265" w:hanging="69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>
    <w:nsid w:val="0000003A"/>
    <w:multiLevelType w:val="multilevel"/>
    <w:tmpl w:val="0000003A"/>
    <w:lvl w:ilvl="0">
      <w:start w:val="3"/>
      <w:numFmt w:val="decimal"/>
      <w:lvlText w:val="5.1.%1."/>
      <w:lvlJc w:val="left"/>
      <w:pPr>
        <w:tabs>
          <w:tab w:val="num" w:pos="1185"/>
        </w:tabs>
        <w:ind w:left="1185" w:hanging="61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>
    <w:nsid w:val="0000003B"/>
    <w:multiLevelType w:val="multilevel"/>
    <w:tmpl w:val="0000003B"/>
    <w:lvl w:ilvl="0">
      <w:start w:val="2"/>
      <w:numFmt w:val="decimal"/>
      <w:lvlText w:val="5.%1."/>
      <w:lvlJc w:val="left"/>
      <w:pPr>
        <w:tabs>
          <w:tab w:val="num" w:pos="991"/>
        </w:tabs>
        <w:ind w:left="99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>
    <w:nsid w:val="0000003C"/>
    <w:multiLevelType w:val="multilevel"/>
    <w:tmpl w:val="0000003C"/>
    <w:lvl w:ilvl="0">
      <w:start w:val="3"/>
      <w:numFmt w:val="decimal"/>
      <w:lvlText w:val="5.%1."/>
      <w:lvlJc w:val="left"/>
      <w:pPr>
        <w:tabs>
          <w:tab w:val="num" w:pos="996"/>
        </w:tabs>
        <w:ind w:left="99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–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4"/>
      <w:numFmt w:val="decimal"/>
      <w:lvlText w:val="5.%2."/>
      <w:lvlJc w:val="left"/>
      <w:pPr>
        <w:tabs>
          <w:tab w:val="num" w:pos="991"/>
        </w:tabs>
        <w:ind w:left="99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multilevel"/>
    <w:tmpl w:val="0000003E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5.1.%1."/>
      <w:lvlJc w:val="left"/>
      <w:pPr>
        <w:tabs>
          <w:tab w:val="num" w:pos="5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6.%2."/>
      <w:lvlJc w:val="left"/>
      <w:pPr>
        <w:tabs>
          <w:tab w:val="num" w:pos="979"/>
        </w:tabs>
        <w:ind w:left="979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>
    <w:nsid w:val="00000040"/>
    <w:multiLevelType w:val="multilevel"/>
    <w:tmpl w:val="00000040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7.%1."/>
      <w:lvlJc w:val="left"/>
      <w:pPr>
        <w:tabs>
          <w:tab w:val="num" w:pos="1013"/>
        </w:tabs>
        <w:ind w:left="1013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00000042"/>
    <w:multiLevelType w:val="multilevel"/>
    <w:tmpl w:val="00000042"/>
    <w:lvl w:ilvl="0">
      <w:start w:val="2"/>
      <w:numFmt w:val="decimal"/>
      <w:lvlText w:val="7.%1."/>
      <w:lvlJc w:val="left"/>
      <w:pPr>
        <w:tabs>
          <w:tab w:val="num" w:pos="977"/>
        </w:tabs>
        <w:ind w:left="977" w:hanging="41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>
    <w:nsid w:val="00000043"/>
    <w:multiLevelType w:val="multilevel"/>
    <w:tmpl w:val="00000043"/>
    <w:lvl w:ilvl="0">
      <w:start w:val="3"/>
      <w:numFmt w:val="decimal"/>
      <w:lvlText w:val="7.%1."/>
      <w:lvlJc w:val="left"/>
      <w:pPr>
        <w:tabs>
          <w:tab w:val="num" w:pos="1003"/>
        </w:tabs>
        <w:ind w:left="1003" w:hanging="43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JANETTA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/>
  </property>
  <property fmtid="{D5CDD505-2E9C-101B-9397-08002B2CF9AE}" pid="3" name="SourceModified">
    <vt:lpwstr>D:20240423070818</vt:lpwstr>
  </property>
</Properties>
</file>